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2561"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4743EB3B"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注射剤</w:t>
      </w:r>
    </w:p>
    <w:p w14:paraId="13A40CFB"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2023</w:t>
      </w:r>
      <w:r w:rsidRPr="007D422F">
        <w:rPr>
          <w:rFonts w:asciiTheme="minorEastAsia" w:hAnsiTheme="minorEastAsia" w:hint="eastAsia"/>
          <w:sz w:val="20"/>
          <w:szCs w:val="20"/>
        </w:rPr>
        <w:t>年</w:t>
      </w:r>
      <w:r w:rsidRPr="007D422F">
        <w:rPr>
          <w:rFonts w:asciiTheme="minorEastAsia" w:hAnsiTheme="minorEastAsia"/>
          <w:sz w:val="20"/>
          <w:szCs w:val="20"/>
        </w:rPr>
        <w:t>01</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6FC8CEA5" w14:textId="77777777" w:rsidTr="003F20F5">
        <w:tc>
          <w:tcPr>
            <w:tcW w:w="9968" w:type="dxa"/>
            <w:gridSpan w:val="2"/>
          </w:tcPr>
          <w:p w14:paraId="1792A4CB"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2855714A" w14:textId="77777777" w:rsidTr="009166E6">
        <w:trPr>
          <w:trHeight w:val="1134"/>
        </w:trPr>
        <w:tc>
          <w:tcPr>
            <w:tcW w:w="7807" w:type="dxa"/>
          </w:tcPr>
          <w:p w14:paraId="05AC740D"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マブキャンパス点滴静注</w:t>
            </w:r>
            <w:r w:rsidRPr="000600ED">
              <w:rPr>
                <w:rFonts w:asciiTheme="majorEastAsia" w:eastAsiaTheme="majorEastAsia" w:hAnsiTheme="majorEastAsia"/>
                <w:b/>
                <w:sz w:val="24"/>
                <w:szCs w:val="24"/>
              </w:rPr>
              <w:t>30mg</w:t>
            </w:r>
          </w:p>
          <w:p w14:paraId="43ECBD9C"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アレムツズマブ（遺伝子組換え）</w:t>
            </w:r>
            <w:r w:rsidRPr="000600ED">
              <w:rPr>
                <w:rFonts w:asciiTheme="minorEastAsia" w:hAnsiTheme="minorEastAsia"/>
                <w:sz w:val="20"/>
                <w:szCs w:val="20"/>
              </w:rPr>
              <w:t>(Alemtuzumab (genetical recombination))</w:t>
            </w:r>
          </w:p>
          <w:p w14:paraId="6C32EDEC"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注射剤</w:t>
            </w:r>
          </w:p>
          <w:p w14:paraId="78DE7848"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p>
        </w:tc>
        <w:tc>
          <w:tcPr>
            <w:tcW w:w="2161" w:type="dxa"/>
          </w:tcPr>
          <w:p w14:paraId="09B9649C"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anchor distT="0" distB="0" distL="114300" distR="114300" simplePos="0" relativeHeight="251658240" behindDoc="0" locked="0" layoutInCell="1" allowOverlap="1" wp14:anchorId="0937E5EE" wp14:editId="3CDF0592">
                  <wp:simplePos x="0" y="0"/>
                  <wp:positionH relativeFrom="column">
                    <wp:posOffset>416560</wp:posOffset>
                  </wp:positionH>
                  <wp:positionV relativeFrom="paragraph">
                    <wp:posOffset>42545</wp:posOffset>
                  </wp:positionV>
                  <wp:extent cx="400050" cy="647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24830" w14:paraId="3B5F229C" w14:textId="77777777" w:rsidTr="003F20F5">
        <w:tc>
          <w:tcPr>
            <w:tcW w:w="9968" w:type="dxa"/>
            <w:gridSpan w:val="2"/>
          </w:tcPr>
          <w:p w14:paraId="70E7FBB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0EAFD760" w14:textId="77777777" w:rsidR="00D86F75" w:rsidRDefault="000600ED" w:rsidP="003F20F5">
            <w:pPr>
              <w:ind w:leftChars="100" w:left="210"/>
              <w:jc w:val="left"/>
            </w:pPr>
            <w:r w:rsidRPr="000600ED">
              <w:rPr>
                <w:rFonts w:asciiTheme="minorEastAsia" w:hAnsiTheme="minorEastAsia" w:hint="eastAsia"/>
                <w:sz w:val="20"/>
                <w:szCs w:val="20"/>
              </w:rPr>
              <w:t>ヒト化抗</w:t>
            </w:r>
            <w:r w:rsidRPr="000600ED">
              <w:rPr>
                <w:rFonts w:asciiTheme="minorEastAsia" w:hAnsiTheme="minorEastAsia"/>
                <w:sz w:val="20"/>
                <w:szCs w:val="20"/>
              </w:rPr>
              <w:t>CD52</w:t>
            </w:r>
            <w:r w:rsidRPr="000600ED">
              <w:rPr>
                <w:rFonts w:asciiTheme="minorEastAsia" w:hAnsiTheme="minorEastAsia" w:hint="eastAsia"/>
                <w:sz w:val="20"/>
                <w:szCs w:val="20"/>
              </w:rPr>
              <w:t>モノクローナル抗体と呼ばれる注射薬で、細胞表面に存在する特異的な抗原（</w:t>
            </w:r>
            <w:r w:rsidRPr="000600ED">
              <w:rPr>
                <w:rFonts w:asciiTheme="minorEastAsia" w:hAnsiTheme="minorEastAsia"/>
                <w:sz w:val="20"/>
                <w:szCs w:val="20"/>
              </w:rPr>
              <w:t>CD52</w:t>
            </w:r>
            <w:r w:rsidRPr="000600ED">
              <w:rPr>
                <w:rFonts w:asciiTheme="minorEastAsia" w:hAnsiTheme="minorEastAsia" w:hint="eastAsia"/>
                <w:sz w:val="20"/>
                <w:szCs w:val="20"/>
              </w:rPr>
              <w:t>というタンパク質）に結合し、がん細胞の増殖を抑えます。</w:t>
            </w:r>
          </w:p>
          <w:p w14:paraId="0AE62D29"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通常、再発または難治性の慢性リンパ性白血病の治療、同種造血幹細胞移植の前治療に用いられます。</w:t>
            </w:r>
          </w:p>
        </w:tc>
      </w:tr>
      <w:tr w:rsidR="00D24830" w14:paraId="339EF189" w14:textId="77777777" w:rsidTr="003F20F5">
        <w:tc>
          <w:tcPr>
            <w:tcW w:w="9968" w:type="dxa"/>
            <w:gridSpan w:val="2"/>
          </w:tcPr>
          <w:p w14:paraId="4BBF94A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0FB6F702" w14:textId="77777777" w:rsidR="00D86F75"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・以前に薬や食べ物で、かゆみ、発疹などのアレルギー症状が出たことがある。感染症にかかっている人。</w:t>
            </w:r>
          </w:p>
          <w:p w14:paraId="792EB282" w14:textId="77777777" w:rsidR="00D86F75" w:rsidRDefault="000600ED" w:rsidP="001456F1">
            <w:pPr>
              <w:ind w:leftChars="100" w:left="410" w:hangingChars="100" w:hanging="200"/>
            </w:pPr>
            <w:r w:rsidRPr="000600ED">
              <w:rPr>
                <w:rFonts w:asciiTheme="minorEastAsia" w:hAnsiTheme="minorEastAsia" w:hint="eastAsia"/>
                <w:sz w:val="20"/>
                <w:szCs w:val="20"/>
              </w:rPr>
              <w:t>・妊娠中、妊娠している可能性がある、または授乳中。</w:t>
            </w:r>
          </w:p>
          <w:p w14:paraId="0F831A91"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62D4102A" w14:textId="77777777" w:rsidTr="003F20F5">
        <w:trPr>
          <w:trHeight w:val="788"/>
        </w:trPr>
        <w:tc>
          <w:tcPr>
            <w:tcW w:w="9968" w:type="dxa"/>
            <w:gridSpan w:val="2"/>
          </w:tcPr>
          <w:p w14:paraId="73A4EBD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18F84D22"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08B3C37B" w14:textId="77777777" w:rsidR="00D86F75"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再発または難治性の慢性リンパ性白血病</w:t>
            </w: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回静脈内に点滴で注射します。最大</w:t>
            </w:r>
            <w:r w:rsidRPr="000600ED">
              <w:rPr>
                <w:rFonts w:asciiTheme="minorEastAsia" w:hAnsiTheme="minorEastAsia"/>
                <w:sz w:val="20"/>
                <w:szCs w:val="20"/>
              </w:rPr>
              <w:t>12</w:t>
            </w:r>
            <w:r w:rsidRPr="000600ED">
              <w:rPr>
                <w:rFonts w:asciiTheme="minorEastAsia" w:hAnsiTheme="minorEastAsia" w:hint="eastAsia"/>
                <w:sz w:val="20"/>
                <w:szCs w:val="20"/>
              </w:rPr>
              <w:t>週間まで注射しますが、症状を見ながら使用期間を決めていきます。</w:t>
            </w:r>
          </w:p>
          <w:p w14:paraId="735F0D03" w14:textId="77777777" w:rsidR="00D86F75" w:rsidRDefault="000600ED" w:rsidP="002B76BF">
            <w:pPr>
              <w:ind w:leftChars="200" w:left="420"/>
            </w:pPr>
            <w:r w:rsidRPr="000600ED">
              <w:rPr>
                <w:rFonts w:asciiTheme="minorEastAsia" w:hAnsiTheme="minorEastAsia" w:hint="eastAsia"/>
                <w:sz w:val="20"/>
                <w:szCs w:val="20"/>
                <w:u w:val="single"/>
              </w:rPr>
              <w:t>同種造血幹細胞移植の前治療</w:t>
            </w: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日に</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6</w:t>
            </w:r>
            <w:r w:rsidRPr="000600ED">
              <w:rPr>
                <w:rFonts w:asciiTheme="minorEastAsia" w:hAnsiTheme="minorEastAsia" w:hint="eastAsia"/>
                <w:sz w:val="20"/>
                <w:szCs w:val="20"/>
              </w:rPr>
              <w:t>日間静脈内に点滴で注射します。</w:t>
            </w:r>
          </w:p>
          <w:p w14:paraId="2083294C"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インフュージョンリアクション（薬剤注入に伴う反応）を軽減させるために、この薬を注射する前に抗ヒスタミン剤および解熱鎮痛剤、あるいはこれらに加え副腎皮質ステロイド剤が使われることがあります。</w:t>
            </w:r>
          </w:p>
        </w:tc>
      </w:tr>
      <w:tr w:rsidR="00D24830" w14:paraId="6BCBFFFD" w14:textId="77777777" w:rsidTr="003F20F5">
        <w:tc>
          <w:tcPr>
            <w:tcW w:w="9968" w:type="dxa"/>
            <w:gridSpan w:val="2"/>
          </w:tcPr>
          <w:p w14:paraId="7C7D070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638292D8" w14:textId="77777777" w:rsidR="00D86F75" w:rsidRDefault="000600ED" w:rsidP="003F20F5">
            <w:pPr>
              <w:ind w:leftChars="100" w:left="410" w:hangingChars="100" w:hanging="200"/>
              <w:jc w:val="left"/>
            </w:pPr>
            <w:r w:rsidRPr="000600ED">
              <w:rPr>
                <w:rFonts w:asciiTheme="minorEastAsia" w:hAnsiTheme="minorEastAsia" w:hint="eastAsia"/>
                <w:sz w:val="20"/>
                <w:szCs w:val="20"/>
              </w:rPr>
              <w:t>・血球減少（血小板減少や好中球減少など）や感染症があらわれることがありますので、定期的に臨床検査（血液検査など）が行われます。医師の指示を守って検査を受けてください。</w:t>
            </w:r>
          </w:p>
          <w:p w14:paraId="23484E73" w14:textId="77777777" w:rsidR="00D86F75" w:rsidRDefault="000600ED" w:rsidP="001456F1">
            <w:pPr>
              <w:ind w:leftChars="100" w:left="410" w:hangingChars="100" w:hanging="200"/>
            </w:pPr>
            <w:r w:rsidRPr="000600ED">
              <w:rPr>
                <w:rFonts w:asciiTheme="minorEastAsia" w:hAnsiTheme="minorEastAsia" w:hint="eastAsia"/>
                <w:sz w:val="20"/>
                <w:szCs w:val="20"/>
              </w:rPr>
              <w:t>・妊娠する可能性のある女性やパートナーが妊娠する可能性がある男性は、この薬を使用している間および使用後から一定期間は避妊してください。</w:t>
            </w:r>
          </w:p>
          <w:p w14:paraId="2F04F231" w14:textId="402F6319" w:rsidR="00D24830" w:rsidRPr="000600ED" w:rsidRDefault="000600ED" w:rsidP="00071C36">
            <w:pPr>
              <w:ind w:leftChars="100" w:left="410" w:hangingChars="100" w:hanging="200"/>
              <w:rPr>
                <w:rFonts w:asciiTheme="minorEastAsia"/>
                <w:sz w:val="20"/>
                <w:szCs w:val="20"/>
              </w:rPr>
            </w:pPr>
            <w:r w:rsidRPr="000600ED">
              <w:rPr>
                <w:rFonts w:asciiTheme="minorEastAsia" w:hAnsiTheme="minorEastAsia" w:hint="eastAsia"/>
                <w:sz w:val="20"/>
                <w:szCs w:val="20"/>
              </w:rPr>
              <w:t>・錯乱や傾眠（眠気でぼんやりするなど）があらわれることがありますので、自動車の運転など危険を伴う機械を操作する際には十分注意してください。</w:t>
            </w:r>
          </w:p>
        </w:tc>
      </w:tr>
      <w:tr w:rsidR="00D24830" w14:paraId="50D31475" w14:textId="77777777" w:rsidTr="003F20F5">
        <w:tc>
          <w:tcPr>
            <w:tcW w:w="9968" w:type="dxa"/>
            <w:gridSpan w:val="2"/>
          </w:tcPr>
          <w:p w14:paraId="0C2883F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095BB310"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主な副作用として、食欲減退、頭痛、嘔吐、吐き気、下痢、かゆみ、じんましん、さむけ、発熱、疲れなどが報告されています。このような症状に気づいたら、担当の医師または薬剤師に相談してください。</w:t>
            </w:r>
          </w:p>
          <w:p w14:paraId="1DF12ADB"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4805D652"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22FBDB90"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・発熱、喉の痛み、めまい</w:t>
            </w:r>
            <w:r w:rsidRPr="000600ED">
              <w:rPr>
                <w:rFonts w:asciiTheme="minorEastAsia" w:hAnsiTheme="minorEastAsia"/>
                <w:sz w:val="20"/>
                <w:szCs w:val="20"/>
              </w:rPr>
              <w:t xml:space="preserve"> [</w:t>
            </w:r>
            <w:r w:rsidRPr="000600ED">
              <w:rPr>
                <w:rFonts w:asciiTheme="minorEastAsia" w:hAnsiTheme="minorEastAsia" w:hint="eastAsia"/>
                <w:sz w:val="20"/>
                <w:szCs w:val="20"/>
              </w:rPr>
              <w:t>血球減少</w:t>
            </w:r>
            <w:r w:rsidRPr="000600ED">
              <w:rPr>
                <w:rFonts w:asciiTheme="minorEastAsia" w:hAnsiTheme="minorEastAsia"/>
                <w:sz w:val="20"/>
                <w:szCs w:val="20"/>
              </w:rPr>
              <w:t>]</w:t>
            </w:r>
          </w:p>
          <w:p w14:paraId="3322D9A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・呼吸困難、意識の低下、発熱</w:t>
            </w:r>
            <w:r w:rsidRPr="000600ED">
              <w:rPr>
                <w:rFonts w:asciiTheme="minorEastAsia" w:hAnsiTheme="minorEastAsia"/>
                <w:sz w:val="20"/>
                <w:szCs w:val="20"/>
              </w:rPr>
              <w:t xml:space="preserve"> [</w:t>
            </w:r>
            <w:r w:rsidRPr="000600ED">
              <w:rPr>
                <w:rFonts w:asciiTheme="minorEastAsia" w:hAnsiTheme="minorEastAsia" w:hint="eastAsia"/>
                <w:sz w:val="20"/>
                <w:szCs w:val="20"/>
              </w:rPr>
              <w:t>インフュージョンリアクション</w:t>
            </w:r>
            <w:r w:rsidRPr="000600ED">
              <w:rPr>
                <w:rFonts w:asciiTheme="minorEastAsia" w:hAnsiTheme="minorEastAsia"/>
                <w:sz w:val="20"/>
                <w:szCs w:val="20"/>
              </w:rPr>
              <w:t>]</w:t>
            </w:r>
          </w:p>
          <w:p w14:paraId="5B041024"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・体がだるい、発熱、さむけ</w:t>
            </w:r>
            <w:r w:rsidRPr="000600ED">
              <w:rPr>
                <w:rFonts w:asciiTheme="minorEastAsia" w:hAnsiTheme="minorEastAsia"/>
                <w:sz w:val="20"/>
                <w:szCs w:val="20"/>
              </w:rPr>
              <w:t xml:space="preserve"> [</w:t>
            </w:r>
            <w:r w:rsidRPr="000600ED">
              <w:rPr>
                <w:rFonts w:asciiTheme="minorEastAsia" w:hAnsiTheme="minorEastAsia" w:hint="eastAsia"/>
                <w:sz w:val="20"/>
                <w:szCs w:val="20"/>
              </w:rPr>
              <w:t>感染症</w:t>
            </w:r>
            <w:r w:rsidRPr="000600ED">
              <w:rPr>
                <w:rFonts w:asciiTheme="minorEastAsia" w:hAnsiTheme="minorEastAsia"/>
                <w:sz w:val="20"/>
                <w:szCs w:val="20"/>
              </w:rPr>
              <w:t>]</w:t>
            </w:r>
          </w:p>
          <w:p w14:paraId="45EC0B52"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・白目が黄色くなる、あおあざができる、体がだるい</w:t>
            </w:r>
            <w:r w:rsidRPr="000600ED">
              <w:rPr>
                <w:rFonts w:asciiTheme="minorEastAsia" w:hAnsiTheme="minorEastAsia"/>
                <w:sz w:val="20"/>
                <w:szCs w:val="20"/>
              </w:rPr>
              <w:t xml:space="preserve"> [</w:t>
            </w:r>
            <w:r w:rsidRPr="000600ED">
              <w:rPr>
                <w:rFonts w:asciiTheme="minorEastAsia" w:hAnsiTheme="minorEastAsia" w:hint="eastAsia"/>
                <w:sz w:val="20"/>
                <w:szCs w:val="20"/>
              </w:rPr>
              <w:t>免疫障害</w:t>
            </w:r>
            <w:r w:rsidRPr="000600ED">
              <w:rPr>
                <w:rFonts w:asciiTheme="minorEastAsia" w:hAnsiTheme="minorEastAsia"/>
                <w:sz w:val="20"/>
                <w:szCs w:val="20"/>
              </w:rPr>
              <w:t>]</w:t>
            </w:r>
          </w:p>
          <w:p w14:paraId="0B7B254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・意識の低下、尿量が減る、息苦しい</w:t>
            </w:r>
            <w:r w:rsidRPr="000600ED">
              <w:rPr>
                <w:rFonts w:asciiTheme="minorEastAsia" w:hAnsiTheme="minorEastAsia"/>
                <w:sz w:val="20"/>
                <w:szCs w:val="20"/>
              </w:rPr>
              <w:t xml:space="preserve"> [</w:t>
            </w:r>
            <w:r w:rsidRPr="000600ED">
              <w:rPr>
                <w:rFonts w:asciiTheme="minorEastAsia" w:hAnsiTheme="minorEastAsia" w:hint="eastAsia"/>
                <w:sz w:val="20"/>
                <w:szCs w:val="20"/>
              </w:rPr>
              <w:t>腫瘍崩壊症候群</w:t>
            </w:r>
            <w:r w:rsidRPr="000600ED">
              <w:rPr>
                <w:rFonts w:asciiTheme="minorEastAsia" w:hAnsiTheme="minorEastAsia"/>
                <w:sz w:val="20"/>
                <w:szCs w:val="20"/>
              </w:rPr>
              <w:t>]</w:t>
            </w:r>
          </w:p>
          <w:p w14:paraId="0E50E7A3"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3C3265C8" w14:textId="77777777" w:rsidTr="003F20F5">
        <w:tc>
          <w:tcPr>
            <w:tcW w:w="9968" w:type="dxa"/>
            <w:gridSpan w:val="2"/>
          </w:tcPr>
          <w:p w14:paraId="4CC4A7D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2F67CD0E" w14:textId="77777777" w:rsidR="00D24830" w:rsidRPr="000600ED" w:rsidRDefault="00D24830" w:rsidP="003F20F5">
            <w:pPr>
              <w:ind w:leftChars="100" w:left="410" w:hangingChars="100" w:hanging="200"/>
              <w:jc w:val="left"/>
              <w:rPr>
                <w:rFonts w:asciiTheme="minorEastAsia"/>
                <w:sz w:val="20"/>
                <w:szCs w:val="20"/>
              </w:rPr>
            </w:pPr>
          </w:p>
        </w:tc>
      </w:tr>
      <w:tr w:rsidR="00D24830" w14:paraId="1B88A9CD" w14:textId="77777777" w:rsidTr="003F20F5">
        <w:tc>
          <w:tcPr>
            <w:tcW w:w="9968" w:type="dxa"/>
            <w:gridSpan w:val="2"/>
          </w:tcPr>
          <w:p w14:paraId="74777F5F"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275E57EC" w14:textId="77777777" w:rsidR="00D24830" w:rsidRDefault="00D24830" w:rsidP="003F20F5">
            <w:pPr>
              <w:rPr>
                <w:rFonts w:asciiTheme="minorEastAsia"/>
                <w:sz w:val="20"/>
                <w:szCs w:val="20"/>
              </w:rPr>
            </w:pPr>
          </w:p>
          <w:p w14:paraId="695FCEAD" w14:textId="77777777" w:rsidR="00D24830" w:rsidRPr="007D422F" w:rsidRDefault="00D24830" w:rsidP="003F20F5">
            <w:pPr>
              <w:rPr>
                <w:rFonts w:asciiTheme="majorEastAsia" w:eastAsiaTheme="majorEastAsia" w:hAnsiTheme="majorEastAsia"/>
                <w:sz w:val="20"/>
                <w:szCs w:val="20"/>
              </w:rPr>
            </w:pPr>
          </w:p>
        </w:tc>
      </w:tr>
    </w:tbl>
    <w:p w14:paraId="64E6E6FA"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E524" w14:textId="77777777" w:rsidR="00386504" w:rsidRDefault="00386504" w:rsidP="005676BB">
      <w:r>
        <w:separator/>
      </w:r>
    </w:p>
  </w:endnote>
  <w:endnote w:type="continuationSeparator" w:id="0">
    <w:p w14:paraId="7AE95B10" w14:textId="77777777" w:rsidR="00386504" w:rsidRDefault="00386504"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2CA3"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6667" w14:textId="77777777" w:rsidR="00386504" w:rsidRDefault="00386504" w:rsidP="005676BB">
      <w:r>
        <w:separator/>
      </w:r>
    </w:p>
  </w:footnote>
  <w:footnote w:type="continuationSeparator" w:id="0">
    <w:p w14:paraId="2F7FF781" w14:textId="77777777" w:rsidR="00386504" w:rsidRDefault="00386504"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071C36"/>
    <w:rsid w:val="001103E5"/>
    <w:rsid w:val="001456F1"/>
    <w:rsid w:val="001D7781"/>
    <w:rsid w:val="002209A5"/>
    <w:rsid w:val="002376F2"/>
    <w:rsid w:val="002A4A81"/>
    <w:rsid w:val="002B76BF"/>
    <w:rsid w:val="003071A2"/>
    <w:rsid w:val="003333EC"/>
    <w:rsid w:val="00386504"/>
    <w:rsid w:val="003F01BE"/>
    <w:rsid w:val="003F20F5"/>
    <w:rsid w:val="00547602"/>
    <w:rsid w:val="005676BB"/>
    <w:rsid w:val="005D3F5E"/>
    <w:rsid w:val="006A40B0"/>
    <w:rsid w:val="00742E07"/>
    <w:rsid w:val="00764B98"/>
    <w:rsid w:val="007B113F"/>
    <w:rsid w:val="007D422F"/>
    <w:rsid w:val="008B2922"/>
    <w:rsid w:val="009166E6"/>
    <w:rsid w:val="00A31947"/>
    <w:rsid w:val="00A96D9D"/>
    <w:rsid w:val="00AB2DE2"/>
    <w:rsid w:val="00BB5781"/>
    <w:rsid w:val="00D24830"/>
    <w:rsid w:val="00D86F75"/>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3C434"/>
  <w14:defaultImageDpi w14:val="0"/>
  <w15:docId w15:val="{A2F3240D-7E2D-45CD-8131-EA93EE79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Ito, Nobuko /JP</cp:lastModifiedBy>
  <cp:revision>4</cp:revision>
  <dcterms:created xsi:type="dcterms:W3CDTF">2023-02-15T12:41:00Z</dcterms:created>
  <dcterms:modified xsi:type="dcterms:W3CDTF">2023-02-15T13:09:00Z</dcterms:modified>
</cp:coreProperties>
</file>